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580C" w14:textId="5B1E91F2" w:rsidR="00FF328A" w:rsidRDefault="00FF328A" w:rsidP="00FF328A">
      <w:pPr>
        <w:spacing w:after="0" w:line="320" w:lineRule="exact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AA523" wp14:editId="72239BD8">
                <wp:simplePos x="0" y="0"/>
                <wp:positionH relativeFrom="column">
                  <wp:posOffset>3404870</wp:posOffset>
                </wp:positionH>
                <wp:positionV relativeFrom="page">
                  <wp:posOffset>806450</wp:posOffset>
                </wp:positionV>
                <wp:extent cx="2101215" cy="3048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E0D27" w14:textId="0349A1C6" w:rsidR="00FF328A" w:rsidRDefault="0011147E" w:rsidP="00FF328A">
                            <w:pPr>
                              <w:spacing w:after="0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Warszawa, </w:t>
                            </w:r>
                            <w:r w:rsidR="00BD5A3F">
                              <w:rPr>
                                <w:sz w:val="20"/>
                              </w:rPr>
                              <w:t xml:space="preserve">12 czerwca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1pt;margin-top:63.5pt;width:165.4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" stroked="f" strokeweight=".5pt">
                <v:textbox style="mso-fit-shape-to-text:t" inset="0,0,0,0">
                  <w:txbxContent>
                    <w:p w14:paraId="324E0D27" w14:textId="0349A1C6" w:rsidR="00FF328A" w:rsidRDefault="0011147E" w:rsidP="00FF328A">
                      <w:pPr>
                        <w:spacing w:after="0"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Warszawa, </w:t>
                      </w:r>
                      <w:r w:rsidR="00BD5A3F">
                        <w:rPr>
                          <w:sz w:val="20"/>
                        </w:rPr>
                        <w:t xml:space="preserve">12 czerwca 2017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4DBE1F" w14:textId="77777777" w:rsidR="00FF328A" w:rsidRDefault="00FF328A" w:rsidP="00FF328A">
      <w:pPr>
        <w:spacing w:after="0" w:line="320" w:lineRule="exact"/>
        <w:jc w:val="both"/>
        <w:rPr>
          <w:sz w:val="28"/>
        </w:rPr>
      </w:pPr>
    </w:p>
    <w:p w14:paraId="1ECD7F36" w14:textId="67E088EA" w:rsidR="00FF328A" w:rsidRDefault="00FF328A" w:rsidP="00FF328A">
      <w:pPr>
        <w:spacing w:after="0" w:line="32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Nextbike</w:t>
      </w:r>
      <w:proofErr w:type="spellEnd"/>
      <w:r>
        <w:rPr>
          <w:b/>
          <w:sz w:val="28"/>
          <w:szCs w:val="28"/>
        </w:rPr>
        <w:t xml:space="preserve"> Polska z Grupy LARQ </w:t>
      </w:r>
      <w:r w:rsidR="00BA5A2F">
        <w:rPr>
          <w:b/>
          <w:sz w:val="28"/>
          <w:szCs w:val="28"/>
        </w:rPr>
        <w:t>wyceniony</w:t>
      </w:r>
      <w:r w:rsidR="00D729C2">
        <w:rPr>
          <w:b/>
          <w:sz w:val="28"/>
          <w:szCs w:val="28"/>
        </w:rPr>
        <w:t xml:space="preserve"> </w:t>
      </w:r>
      <w:r w:rsidR="00BA5A2F">
        <w:rPr>
          <w:b/>
          <w:sz w:val="28"/>
          <w:szCs w:val="28"/>
        </w:rPr>
        <w:t xml:space="preserve">na </w:t>
      </w:r>
      <w:r w:rsidR="006B1A06">
        <w:rPr>
          <w:b/>
          <w:sz w:val="28"/>
          <w:szCs w:val="28"/>
        </w:rPr>
        <w:t>126</w:t>
      </w:r>
      <w:r w:rsidR="00D729C2">
        <w:rPr>
          <w:b/>
          <w:sz w:val="28"/>
          <w:szCs w:val="28"/>
        </w:rPr>
        <w:t xml:space="preserve"> mln zł</w:t>
      </w:r>
      <w:r w:rsidR="006D0D05">
        <w:rPr>
          <w:b/>
          <w:sz w:val="28"/>
          <w:szCs w:val="28"/>
        </w:rPr>
        <w:t xml:space="preserve"> </w:t>
      </w:r>
    </w:p>
    <w:p w14:paraId="4C960ADD" w14:textId="77777777" w:rsidR="00FF328A" w:rsidRDefault="00FF328A" w:rsidP="00FF328A">
      <w:pPr>
        <w:spacing w:after="0" w:line="320" w:lineRule="exact"/>
        <w:jc w:val="both"/>
      </w:pPr>
    </w:p>
    <w:p w14:paraId="2DDB0BBC" w14:textId="212D4994" w:rsidR="00FF328A" w:rsidRDefault="00BD5A3F" w:rsidP="00FF328A">
      <w:pPr>
        <w:numPr>
          <w:ilvl w:val="0"/>
          <w:numId w:val="10"/>
        </w:numPr>
        <w:spacing w:after="0" w:line="320" w:lineRule="exact"/>
        <w:jc w:val="both"/>
        <w:rPr>
          <w:b/>
        </w:rPr>
      </w:pPr>
      <w:proofErr w:type="spellStart"/>
      <w:r>
        <w:rPr>
          <w:b/>
        </w:rPr>
        <w:t>Nextbike</w:t>
      </w:r>
      <w:proofErr w:type="spellEnd"/>
      <w:r>
        <w:rPr>
          <w:b/>
        </w:rPr>
        <w:t xml:space="preserve"> Polska ustalił cenę emisyjną 51.000 akcji nowej emisji na poziomie </w:t>
      </w:r>
      <w:r w:rsidR="006B1A06">
        <w:rPr>
          <w:b/>
        </w:rPr>
        <w:t>117,65</w:t>
      </w:r>
      <w:r>
        <w:rPr>
          <w:b/>
        </w:rPr>
        <w:t xml:space="preserve"> PLN za akcję, </w:t>
      </w:r>
      <w:r w:rsidR="00DD116D">
        <w:rPr>
          <w:b/>
        </w:rPr>
        <w:t xml:space="preserve">co implikuje wycenę spółki na poziomie </w:t>
      </w:r>
      <w:r w:rsidR="006B1A06">
        <w:rPr>
          <w:b/>
        </w:rPr>
        <w:t>126</w:t>
      </w:r>
      <w:r w:rsidR="00DD116D">
        <w:rPr>
          <w:b/>
        </w:rPr>
        <w:t xml:space="preserve"> mln PLN</w:t>
      </w:r>
    </w:p>
    <w:p w14:paraId="64B75D4B" w14:textId="19AEC6C3" w:rsidR="00FF328A" w:rsidRDefault="00BA5A2F" w:rsidP="00FF328A">
      <w:pPr>
        <w:numPr>
          <w:ilvl w:val="0"/>
          <w:numId w:val="10"/>
        </w:numPr>
        <w:spacing w:after="0" w:line="320" w:lineRule="exact"/>
        <w:jc w:val="both"/>
        <w:rPr>
          <w:b/>
        </w:rPr>
      </w:pPr>
      <w:r>
        <w:rPr>
          <w:b/>
        </w:rPr>
        <w:t xml:space="preserve">spółka pozyska z emisji </w:t>
      </w:r>
      <w:r w:rsidR="006B1A06">
        <w:rPr>
          <w:b/>
        </w:rPr>
        <w:t>6</w:t>
      </w:r>
      <w:r>
        <w:rPr>
          <w:b/>
        </w:rPr>
        <w:t xml:space="preserve"> mln PLN, które umożliwią jej dalszy dynamiczny rozwój na rosnącym rynku miejskich systemów rowerowych</w:t>
      </w:r>
    </w:p>
    <w:p w14:paraId="30E0C9E0" w14:textId="77777777" w:rsidR="00BE7453" w:rsidRDefault="00BE7453" w:rsidP="00FF328A">
      <w:pPr>
        <w:jc w:val="both"/>
      </w:pPr>
    </w:p>
    <w:p w14:paraId="0378DA1F" w14:textId="6363C0C4" w:rsidR="00874ADD" w:rsidRDefault="000E6836" w:rsidP="00FF328A">
      <w:pPr>
        <w:jc w:val="both"/>
      </w:pPr>
      <w:r>
        <w:t xml:space="preserve">Analizując złożone w ramach oferty prywatnej deklaracje objęcia akcji zarząd </w:t>
      </w:r>
      <w:proofErr w:type="spellStart"/>
      <w:r>
        <w:t>Nextbike</w:t>
      </w:r>
      <w:proofErr w:type="spellEnd"/>
      <w:r>
        <w:t xml:space="preserve"> Polska ustalił cenę emisyjną akcji serii C na </w:t>
      </w:r>
      <w:r w:rsidR="006B1A06">
        <w:t>117,65</w:t>
      </w:r>
      <w:r>
        <w:t xml:space="preserve"> PLN za akcję. Oznacza to, że z emisji spółka może pozyskać </w:t>
      </w:r>
      <w:r w:rsidR="006B1A06">
        <w:t>6</w:t>
      </w:r>
      <w:r>
        <w:t xml:space="preserve"> mln PLN. Umowy objęcia akcji zawierane będą z inwestorami do 19 czerwca br.</w:t>
      </w:r>
      <w:r w:rsidR="00FE204B">
        <w:t xml:space="preserve"> po dopełnieniu formalności spółka ubiegać się będzie o dopuszczenie akcji do obrotu na </w:t>
      </w:r>
      <w:proofErr w:type="spellStart"/>
      <w:r w:rsidR="00FE204B">
        <w:t>NewCo</w:t>
      </w:r>
      <w:r w:rsidR="00DD116D">
        <w:t>nnect</w:t>
      </w:r>
      <w:proofErr w:type="spellEnd"/>
      <w:r w:rsidR="00DD116D">
        <w:t>. Debiut planowany jest w wakacje br.</w:t>
      </w:r>
    </w:p>
    <w:p w14:paraId="18FD3EA7" w14:textId="3F608038" w:rsidR="00F72DD0" w:rsidRDefault="00F72DD0" w:rsidP="00F72DD0">
      <w:pPr>
        <w:spacing w:after="0" w:line="320" w:lineRule="exact"/>
        <w:jc w:val="both"/>
      </w:pPr>
      <w:r>
        <w:rPr>
          <w:i/>
        </w:rPr>
        <w:t xml:space="preserve">W ciągu ostatnich kilkunastu dni odbyliśmy kilkadziesiąt spotkań z potencjalnymi inwestorami - bardzo cieszy nas tak duże zainteresowanie spółką, czego efektem była kilkukrotna </w:t>
      </w:r>
      <w:proofErr w:type="spellStart"/>
      <w:r>
        <w:rPr>
          <w:i/>
        </w:rPr>
        <w:t>nadsubskrypcja</w:t>
      </w:r>
      <w:proofErr w:type="spellEnd"/>
      <w:r>
        <w:rPr>
          <w:i/>
        </w:rPr>
        <w:t xml:space="preserve"> zgłoszona w złożonych deklaracjach objęcia akcji. Pozyskane środki przeznaczymy na dalszy rozwój na rosnącym rynku miejskich systemów rowerowych. Będziemy startować we wszystkich przetargach, zarówno w du</w:t>
      </w:r>
      <w:r w:rsidR="009A1182">
        <w:rPr>
          <w:i/>
        </w:rPr>
        <w:t xml:space="preserve">żych, jak i mniejszych miastach, aby jak najlepiej wykorzystać potencjał rynku. Obecnie z niecierpliwością oczekujemy na ogłoszenie kilkunastu </w:t>
      </w:r>
      <w:r w:rsidR="00BD5A3F">
        <w:rPr>
          <w:i/>
        </w:rPr>
        <w:t xml:space="preserve">postępowań </w:t>
      </w:r>
      <w:r w:rsidR="009A1182">
        <w:rPr>
          <w:i/>
        </w:rPr>
        <w:t xml:space="preserve">na systemy, </w:t>
      </w:r>
      <w:r w:rsidR="00FE204B">
        <w:rPr>
          <w:i/>
        </w:rPr>
        <w:t>z których część powinna</w:t>
      </w:r>
      <w:r w:rsidR="009A1182">
        <w:rPr>
          <w:i/>
        </w:rPr>
        <w:t xml:space="preserve"> zacząć działać </w:t>
      </w:r>
      <w:r w:rsidR="00FE204B">
        <w:rPr>
          <w:i/>
        </w:rPr>
        <w:t xml:space="preserve">już </w:t>
      </w:r>
      <w:r w:rsidR="009A1182">
        <w:rPr>
          <w:i/>
        </w:rPr>
        <w:t xml:space="preserve">wiosną przyszłego </w:t>
      </w:r>
      <w:r w:rsidR="00FE204B">
        <w:rPr>
          <w:i/>
        </w:rPr>
        <w:t>roku</w:t>
      </w:r>
      <w:r w:rsidR="00DD116D">
        <w:rPr>
          <w:i/>
        </w:rPr>
        <w:t xml:space="preserve">. Wśród nich jest m.in. system w Trójmieście, Chorzowie czy Bydgoszczy </w:t>
      </w:r>
      <w:r w:rsidRPr="00F72DD0">
        <w:t xml:space="preserve">– mówi Tomasz Wojtkiewicz, Prezes Zarządu </w:t>
      </w:r>
      <w:proofErr w:type="spellStart"/>
      <w:r w:rsidRPr="00F72DD0">
        <w:t>Nextbike</w:t>
      </w:r>
      <w:proofErr w:type="spellEnd"/>
      <w:r w:rsidRPr="00F72DD0">
        <w:t xml:space="preserve"> Polska S.A.</w:t>
      </w:r>
    </w:p>
    <w:p w14:paraId="10B30212" w14:textId="77777777" w:rsidR="00F72DD0" w:rsidRDefault="00F72DD0" w:rsidP="00F72DD0">
      <w:pPr>
        <w:spacing w:after="0" w:line="320" w:lineRule="exact"/>
        <w:jc w:val="both"/>
      </w:pPr>
    </w:p>
    <w:p w14:paraId="4342EAA6" w14:textId="2819CF43" w:rsidR="00FF328A" w:rsidRPr="00E86822" w:rsidRDefault="000E6836" w:rsidP="00DF7954">
      <w:pPr>
        <w:spacing w:after="0" w:line="320" w:lineRule="exact"/>
        <w:jc w:val="both"/>
        <w:rPr>
          <w:i/>
        </w:rPr>
      </w:pPr>
      <w:r w:rsidRPr="0000181B">
        <w:rPr>
          <w:i/>
        </w:rPr>
        <w:t xml:space="preserve">Ustalona cena emisyjna implikuje wycenę całej spółki na poziomie </w:t>
      </w:r>
      <w:r w:rsidR="00C841DF">
        <w:rPr>
          <w:i/>
        </w:rPr>
        <w:t>126</w:t>
      </w:r>
      <w:r w:rsidRPr="0000181B">
        <w:rPr>
          <w:i/>
        </w:rPr>
        <w:t xml:space="preserve"> mln PLN. </w:t>
      </w:r>
      <w:r w:rsidR="00BD5A3F">
        <w:rPr>
          <w:i/>
        </w:rPr>
        <w:t xml:space="preserve">LARQ jako główny akcjonariusz </w:t>
      </w:r>
      <w:proofErr w:type="spellStart"/>
      <w:r w:rsidR="00BD5A3F">
        <w:rPr>
          <w:i/>
        </w:rPr>
        <w:t>Nextbike</w:t>
      </w:r>
      <w:proofErr w:type="spellEnd"/>
      <w:r w:rsidR="00BD5A3F">
        <w:rPr>
          <w:i/>
        </w:rPr>
        <w:t xml:space="preserve"> Polska jest bardzo zadowolony z dużego zainteresowania jakim cieszy się ta spółka i </w:t>
      </w:r>
      <w:r w:rsidR="0068190E">
        <w:rPr>
          <w:i/>
        </w:rPr>
        <w:t xml:space="preserve">z </w:t>
      </w:r>
      <w:r w:rsidR="00BD5A3F">
        <w:rPr>
          <w:i/>
        </w:rPr>
        <w:t xml:space="preserve">wyceny osiągniętej w tej transakcji. Jednocześnie mamy </w:t>
      </w:r>
      <w:r w:rsidR="0068190E">
        <w:rPr>
          <w:i/>
        </w:rPr>
        <w:t>silne</w:t>
      </w:r>
      <w:r w:rsidR="00BD5A3F">
        <w:rPr>
          <w:i/>
        </w:rPr>
        <w:t xml:space="preserve"> </w:t>
      </w:r>
      <w:r w:rsidR="0068190E">
        <w:rPr>
          <w:i/>
        </w:rPr>
        <w:t>przeświadczenie</w:t>
      </w:r>
      <w:r w:rsidR="00BD5A3F">
        <w:rPr>
          <w:i/>
        </w:rPr>
        <w:t xml:space="preserve">, że jest to dopiero początek drogi dla tej spółki i </w:t>
      </w:r>
      <w:r w:rsidRPr="0000181B">
        <w:rPr>
          <w:i/>
        </w:rPr>
        <w:t xml:space="preserve">że perspektywy, jakie ma przed sobą </w:t>
      </w:r>
      <w:proofErr w:type="spellStart"/>
      <w:r w:rsidRPr="0000181B">
        <w:rPr>
          <w:i/>
        </w:rPr>
        <w:t>Nextbike</w:t>
      </w:r>
      <w:proofErr w:type="spellEnd"/>
      <w:r w:rsidRPr="0000181B">
        <w:rPr>
          <w:i/>
        </w:rPr>
        <w:t xml:space="preserve"> Polska</w:t>
      </w:r>
      <w:r w:rsidR="0000181B" w:rsidRPr="0000181B">
        <w:rPr>
          <w:i/>
        </w:rPr>
        <w:t>,</w:t>
      </w:r>
      <w:r w:rsidRPr="0000181B">
        <w:rPr>
          <w:i/>
        </w:rPr>
        <w:t xml:space="preserve"> przełożą się na dalszy dynamiczny wzrost wartości te</w:t>
      </w:r>
      <w:r w:rsidR="00BD5A3F">
        <w:rPr>
          <w:i/>
        </w:rPr>
        <w:t>go aktywa</w:t>
      </w:r>
      <w:r w:rsidR="0068190E">
        <w:rPr>
          <w:i/>
        </w:rPr>
        <w:t>. Biorąc to pod uwagę</w:t>
      </w:r>
      <w:r w:rsidRPr="0000181B">
        <w:rPr>
          <w:i/>
        </w:rPr>
        <w:t xml:space="preserve"> jako główny akcjonariusz nie zdecydowaliśmy się na sprzedaż choćby części posiadanych </w:t>
      </w:r>
      <w:r w:rsidR="00BD5A3F">
        <w:rPr>
          <w:i/>
        </w:rPr>
        <w:t xml:space="preserve">przez nas </w:t>
      </w:r>
      <w:r w:rsidRPr="0000181B">
        <w:rPr>
          <w:i/>
        </w:rPr>
        <w:t>akcj</w:t>
      </w:r>
      <w:r w:rsidR="0000181B" w:rsidRPr="0000181B">
        <w:rPr>
          <w:i/>
        </w:rPr>
        <w:t>i</w:t>
      </w:r>
      <w:r w:rsidRPr="0000181B">
        <w:rPr>
          <w:i/>
        </w:rPr>
        <w:t xml:space="preserve"> </w:t>
      </w:r>
      <w:r w:rsidR="00225ECA">
        <w:rPr>
          <w:i/>
        </w:rPr>
        <w:t>na tym etapie</w:t>
      </w:r>
      <w:r>
        <w:t xml:space="preserve"> </w:t>
      </w:r>
      <w:r w:rsidR="00FF328A">
        <w:t xml:space="preserve">– mówi </w:t>
      </w:r>
      <w:r w:rsidR="00233446">
        <w:t>Mikołaj Chruszczewski</w:t>
      </w:r>
      <w:r w:rsidR="00FF328A">
        <w:t xml:space="preserve">, </w:t>
      </w:r>
      <w:r w:rsidR="00233446">
        <w:t>Członek</w:t>
      </w:r>
      <w:r w:rsidR="00FF328A">
        <w:t xml:space="preserve"> Zarządu LARQ S.A.</w:t>
      </w:r>
      <w:r w:rsidR="00155C72">
        <w:t xml:space="preserve"> i członek Rady Nadzorczej </w:t>
      </w:r>
      <w:proofErr w:type="spellStart"/>
      <w:r w:rsidR="00155C72">
        <w:t>Nextbike</w:t>
      </w:r>
      <w:proofErr w:type="spellEnd"/>
      <w:r w:rsidR="00155C72">
        <w:t xml:space="preserve"> Polska S.A.</w:t>
      </w:r>
    </w:p>
    <w:p w14:paraId="16A1FCCC" w14:textId="77777777" w:rsidR="00CB1587" w:rsidRDefault="00CB1587" w:rsidP="00FF328A">
      <w:pPr>
        <w:spacing w:after="0" w:line="320" w:lineRule="exact"/>
        <w:jc w:val="both"/>
      </w:pPr>
    </w:p>
    <w:p w14:paraId="5AE5C92F" w14:textId="77777777" w:rsidR="00FF328A" w:rsidRDefault="00FF328A" w:rsidP="00FF328A">
      <w:pPr>
        <w:spacing w:after="0" w:line="320" w:lineRule="exact"/>
        <w:jc w:val="both"/>
      </w:pPr>
      <w:r>
        <w:rPr>
          <w:u w:val="single"/>
        </w:rPr>
        <w:t xml:space="preserve">O </w:t>
      </w:r>
      <w:proofErr w:type="spellStart"/>
      <w:r>
        <w:rPr>
          <w:u w:val="single"/>
        </w:rPr>
        <w:t>Nextbike</w:t>
      </w:r>
      <w:proofErr w:type="spellEnd"/>
      <w:r>
        <w:rPr>
          <w:u w:val="single"/>
        </w:rPr>
        <w:t xml:space="preserve"> Polska</w:t>
      </w:r>
    </w:p>
    <w:p w14:paraId="4E3E5D2A" w14:textId="6F70665D" w:rsidR="00A52F3A" w:rsidRDefault="00B17BC8" w:rsidP="00720016">
      <w:p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jest niekwestionowanym numerem jeden na polskim rynku miejskich systemów rowerowych pod względem liczby rowerów (80% udział rynkowy)</w:t>
      </w:r>
      <w:r>
        <w:t>.</w:t>
      </w:r>
      <w:r>
        <w:t xml:space="preserve"> Spółka jest operatorem systemów rowerów miejskich w 26 miastach i miejscowościach w Polsce, m.in. w Warszawie, Wrocławiu, Poznaniu</w:t>
      </w:r>
      <w:r>
        <w:t xml:space="preserve"> i</w:t>
      </w:r>
      <w:r>
        <w:t xml:space="preserve"> Łodzi.</w:t>
      </w:r>
      <w:r w:rsidR="000D6525">
        <w:t xml:space="preserve"> </w:t>
      </w:r>
      <w:proofErr w:type="spellStart"/>
      <w:r w:rsidR="00FF328A">
        <w:t>Nextbike</w:t>
      </w:r>
      <w:proofErr w:type="spellEnd"/>
      <w:r w:rsidR="00FF328A">
        <w:t xml:space="preserve"> jest jedną z pierwszych firm w Polsce wpisujących się ogólnoświatowy trend</w:t>
      </w:r>
      <w:r w:rsidR="00A52F3A">
        <w:t xml:space="preserve"> gospodarki współdzielenia</w:t>
      </w:r>
      <w:r w:rsidR="00FF328A">
        <w:t xml:space="preserve"> </w:t>
      </w:r>
      <w:r w:rsidR="00A52F3A">
        <w:t>(</w:t>
      </w:r>
      <w:r w:rsidR="00FF328A">
        <w:t>„</w:t>
      </w:r>
      <w:proofErr w:type="spellStart"/>
      <w:r w:rsidR="00FF328A">
        <w:t>sharing</w:t>
      </w:r>
      <w:proofErr w:type="spellEnd"/>
      <w:r w:rsidR="006F6571">
        <w:t xml:space="preserve"> </w:t>
      </w:r>
      <w:proofErr w:type="spellStart"/>
      <w:r w:rsidR="00FF328A">
        <w:t>economy</w:t>
      </w:r>
      <w:proofErr w:type="spellEnd"/>
      <w:r w:rsidR="00FF328A">
        <w:t>”</w:t>
      </w:r>
      <w:r w:rsidR="00A52F3A">
        <w:t xml:space="preserve"> / „nie musisz posiadać, żeby korzystać”)</w:t>
      </w:r>
      <w:r w:rsidR="00FF328A">
        <w:t xml:space="preserve">. </w:t>
      </w:r>
    </w:p>
    <w:p w14:paraId="278D0AF3" w14:textId="799FA070" w:rsidR="00A52F3A" w:rsidRDefault="00A52F3A" w:rsidP="00720016">
      <w:pPr>
        <w:spacing w:after="0" w:line="320" w:lineRule="exact"/>
        <w:jc w:val="both"/>
      </w:pPr>
    </w:p>
    <w:p w14:paraId="7BDAEF2E" w14:textId="134681DF" w:rsidR="00A52F3A" w:rsidRDefault="000D6525" w:rsidP="00720016">
      <w:pPr>
        <w:spacing w:after="0" w:line="320" w:lineRule="exact"/>
        <w:jc w:val="both"/>
      </w:pPr>
      <w:r>
        <w:lastRenderedPageBreak/>
        <w:t>Infrastruktura i u</w:t>
      </w:r>
      <w:r w:rsidR="00A52F3A">
        <w:t xml:space="preserve">sługa </w:t>
      </w:r>
      <w:r>
        <w:t xml:space="preserve">dostarczana </w:t>
      </w:r>
      <w:r w:rsidR="00A52F3A">
        <w:t xml:space="preserve">przez spółkę </w:t>
      </w:r>
      <w:r>
        <w:t xml:space="preserve">pomaga </w:t>
      </w:r>
      <w:r w:rsidR="004A6045">
        <w:t>zrównoważyć transport publiczny</w:t>
      </w:r>
      <w:r w:rsidR="004A6045">
        <w:br/>
      </w:r>
      <w:r>
        <w:t>w polskich miastach i wspierać je w rozwiązywan</w:t>
      </w:r>
      <w:r w:rsidR="004A6045">
        <w:t>iu problemów z korkami, hałasem</w:t>
      </w:r>
      <w:r w:rsidR="004A6045">
        <w:br/>
      </w:r>
      <w:r>
        <w:t xml:space="preserve">i zanieczyszczeniem powietrza. </w:t>
      </w:r>
    </w:p>
    <w:p w14:paraId="03531EDF" w14:textId="1081F603" w:rsidR="00FF328A" w:rsidRDefault="00720016" w:rsidP="00FF328A">
      <w:p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należy </w:t>
      </w:r>
      <w:r w:rsidR="00944AA8">
        <w:t xml:space="preserve">do </w:t>
      </w:r>
      <w:r w:rsidR="005422B7">
        <w:t xml:space="preserve">portfela </w:t>
      </w:r>
      <w:r>
        <w:t xml:space="preserve">LARQ S.A. (giełdowy podmiot </w:t>
      </w:r>
      <w:r w:rsidR="00944AA8">
        <w:t xml:space="preserve">poprzez </w:t>
      </w:r>
      <w:r w:rsidR="0068190E">
        <w:t xml:space="preserve">LARQ </w:t>
      </w:r>
      <w:proofErr w:type="spellStart"/>
      <w:r w:rsidR="0068190E">
        <w:t>Growth</w:t>
      </w:r>
      <w:proofErr w:type="spellEnd"/>
      <w:r w:rsidR="0068190E">
        <w:t xml:space="preserve"> Fund</w:t>
      </w:r>
      <w:r w:rsidR="0068190E">
        <w:br/>
      </w:r>
      <w:r w:rsidR="00944AA8" w:rsidRPr="00944AA8">
        <w:t>I FIZ</w:t>
      </w:r>
      <w:r w:rsidR="00944AA8">
        <w:t xml:space="preserve"> </w:t>
      </w:r>
      <w:r>
        <w:t>kontroluje</w:t>
      </w:r>
      <w:r w:rsidR="0068190E">
        <w:t xml:space="preserve"> obecnie</w:t>
      </w:r>
      <w:bookmarkStart w:id="0" w:name="_GoBack"/>
      <w:bookmarkEnd w:id="0"/>
      <w:r>
        <w:t xml:space="preserve"> 7</w:t>
      </w:r>
      <w:r w:rsidR="00C905B4">
        <w:t>1,15</w:t>
      </w:r>
      <w:r>
        <w:t xml:space="preserve">% </w:t>
      </w:r>
      <w:r w:rsidR="00C905B4">
        <w:t>akcji, 23,31</w:t>
      </w:r>
      <w:r>
        <w:t xml:space="preserve">% </w:t>
      </w:r>
      <w:r w:rsidR="00944AA8">
        <w:t>należy do</w:t>
      </w:r>
      <w:r>
        <w:t xml:space="preserve"> niemie</w:t>
      </w:r>
      <w:r w:rsidR="00A76E2C">
        <w:t xml:space="preserve">ckiego partnera </w:t>
      </w:r>
      <w:proofErr w:type="spellStart"/>
      <w:r w:rsidR="00A76E2C">
        <w:t>Nextbike</w:t>
      </w:r>
      <w:proofErr w:type="spellEnd"/>
      <w:r w:rsidR="00A76E2C">
        <w:t xml:space="preserve"> GmbH).</w:t>
      </w:r>
      <w:r w:rsidR="0057064C">
        <w:t xml:space="preserve"> </w:t>
      </w:r>
      <w:r w:rsidR="005422B7">
        <w:t xml:space="preserve">W 2016 roku </w:t>
      </w:r>
      <w:r w:rsidR="007D0700">
        <w:t xml:space="preserve">spółka wypracowała </w:t>
      </w:r>
      <w:r w:rsidR="007D0700" w:rsidRPr="007D0700">
        <w:t>34,6 mln zł przychodów</w:t>
      </w:r>
      <w:r w:rsidR="00225ECA">
        <w:t xml:space="preserve"> i </w:t>
      </w:r>
      <w:r w:rsidR="007D0700" w:rsidRPr="007D0700">
        <w:t>12,8 mln zł EBITDA</w:t>
      </w:r>
      <w:r w:rsidR="007D0700">
        <w:t>.</w:t>
      </w:r>
      <w:r w:rsidR="00225ECA">
        <w:t xml:space="preserve"> </w:t>
      </w:r>
      <w:r w:rsidR="00C8375D">
        <w:t>Prognoza</w:t>
      </w:r>
      <w:r w:rsidR="0000181B">
        <w:t xml:space="preserve"> wyników finansowych na rok 2017</w:t>
      </w:r>
      <w:r w:rsidR="00C8375D">
        <w:t xml:space="preserve"> zakłada osiągniecie przez </w:t>
      </w:r>
      <w:proofErr w:type="spellStart"/>
      <w:r w:rsidR="00C8375D">
        <w:t>Nextbike</w:t>
      </w:r>
      <w:proofErr w:type="spellEnd"/>
      <w:r w:rsidR="00C8375D">
        <w:t xml:space="preserve"> Polska </w:t>
      </w:r>
      <w:r w:rsidR="0000181B">
        <w:t>40,1 mln PLN</w:t>
      </w:r>
      <w:r w:rsidR="0068190E">
        <w:t xml:space="preserve"> przychodów</w:t>
      </w:r>
      <w:r w:rsidR="0068190E">
        <w:br/>
      </w:r>
      <w:r w:rsidR="005422B7">
        <w:t>i 15,5</w:t>
      </w:r>
      <w:r w:rsidR="00C8375D">
        <w:t>mln zł EBITDA.</w:t>
      </w:r>
    </w:p>
    <w:p w14:paraId="697C2730" w14:textId="77777777" w:rsidR="00A76E2C" w:rsidRDefault="00A76E2C" w:rsidP="00FF328A">
      <w:pPr>
        <w:spacing w:after="0" w:line="320" w:lineRule="exact"/>
        <w:jc w:val="both"/>
      </w:pPr>
    </w:p>
    <w:p w14:paraId="3B4062B0" w14:textId="77777777" w:rsidR="00B17BC8" w:rsidRDefault="00B17BC8" w:rsidP="00B17BC8">
      <w:p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w liczbach:</w:t>
      </w:r>
    </w:p>
    <w:p w14:paraId="3016E05E" w14:textId="60026493" w:rsidR="00B17BC8" w:rsidRDefault="00B17BC8" w:rsidP="00B17BC8">
      <w:pPr>
        <w:spacing w:after="0" w:line="320" w:lineRule="exact"/>
        <w:jc w:val="both"/>
      </w:pPr>
      <w:r>
        <w:t xml:space="preserve">dostawca i operator Polsce systemów rowerów miejskich </w:t>
      </w:r>
      <w:r w:rsidR="0068190E">
        <w:t xml:space="preserve">w </w:t>
      </w:r>
      <w:r w:rsidR="0068190E" w:rsidRPr="0068190E">
        <w:rPr>
          <w:b/>
        </w:rPr>
        <w:t>26 miastach</w:t>
      </w:r>
      <w:r w:rsidR="0068190E">
        <w:t xml:space="preserve"> i miejscowościach</w:t>
      </w:r>
      <w:r w:rsidR="0068190E">
        <w:br/>
      </w:r>
      <w:r>
        <w:t>w Polsce</w:t>
      </w:r>
    </w:p>
    <w:p w14:paraId="78AA353C" w14:textId="77777777" w:rsidR="00B17BC8" w:rsidRDefault="00B17BC8" w:rsidP="00B17BC8">
      <w:pPr>
        <w:spacing w:after="0" w:line="320" w:lineRule="exact"/>
        <w:jc w:val="both"/>
      </w:pPr>
      <w:r w:rsidRPr="0068190E">
        <w:rPr>
          <w:b/>
        </w:rPr>
        <w:t>11 109</w:t>
      </w:r>
      <w:r>
        <w:t xml:space="preserve"> rowerów</w:t>
      </w:r>
    </w:p>
    <w:p w14:paraId="34C93CC1" w14:textId="77777777" w:rsidR="00B17BC8" w:rsidRDefault="00B17BC8" w:rsidP="00B17BC8">
      <w:pPr>
        <w:spacing w:after="0" w:line="320" w:lineRule="exact"/>
        <w:jc w:val="both"/>
      </w:pPr>
      <w:r w:rsidRPr="0068190E">
        <w:rPr>
          <w:b/>
        </w:rPr>
        <w:t>1 015</w:t>
      </w:r>
      <w:r>
        <w:t xml:space="preserve"> stacji</w:t>
      </w:r>
    </w:p>
    <w:p w14:paraId="272C78A1" w14:textId="77777777" w:rsidR="00B17BC8" w:rsidRDefault="00B17BC8" w:rsidP="00B17BC8">
      <w:pPr>
        <w:spacing w:after="0" w:line="320" w:lineRule="exact"/>
        <w:jc w:val="both"/>
      </w:pPr>
      <w:r w:rsidRPr="0068190E">
        <w:rPr>
          <w:b/>
        </w:rPr>
        <w:t>1 160 000</w:t>
      </w:r>
      <w:r>
        <w:t xml:space="preserve"> zarejestrowanych użytkowników</w:t>
      </w:r>
    </w:p>
    <w:p w14:paraId="6B0B7437" w14:textId="56D936BD" w:rsidR="00FF328A" w:rsidRDefault="00B17BC8" w:rsidP="00B17BC8">
      <w:pPr>
        <w:spacing w:after="0" w:line="320" w:lineRule="exact"/>
        <w:jc w:val="both"/>
      </w:pPr>
      <w:r>
        <w:t xml:space="preserve">ponad </w:t>
      </w:r>
      <w:r w:rsidRPr="0068190E">
        <w:rPr>
          <w:b/>
        </w:rPr>
        <w:t>20 mln</w:t>
      </w:r>
      <w:r>
        <w:t xml:space="preserve"> </w:t>
      </w:r>
      <w:proofErr w:type="spellStart"/>
      <w:r>
        <w:t>wypożyczeń</w:t>
      </w:r>
      <w:proofErr w:type="spellEnd"/>
      <w:r>
        <w:t xml:space="preserve"> </w:t>
      </w:r>
      <w:r w:rsidR="00FF328A">
        <w:t xml:space="preserve"> </w:t>
      </w:r>
    </w:p>
    <w:p w14:paraId="31764629" w14:textId="77777777" w:rsidR="00FF328A" w:rsidRDefault="00FF328A" w:rsidP="00FF328A">
      <w:pPr>
        <w:spacing w:after="0" w:line="320" w:lineRule="exact"/>
        <w:jc w:val="both"/>
      </w:pPr>
    </w:p>
    <w:p w14:paraId="216E6731" w14:textId="77777777" w:rsidR="00FF328A" w:rsidRDefault="00FF328A" w:rsidP="00FF328A">
      <w:pPr>
        <w:spacing w:after="0" w:line="320" w:lineRule="exact"/>
        <w:jc w:val="both"/>
      </w:pPr>
      <w:r>
        <w:t>-------------------------</w:t>
      </w:r>
    </w:p>
    <w:p w14:paraId="4DCF5F79" w14:textId="77777777" w:rsidR="00BA5A2F" w:rsidRDefault="00BA5A2F" w:rsidP="00BA5A2F">
      <w:pPr>
        <w:spacing w:after="0" w:line="320" w:lineRule="exact"/>
        <w:jc w:val="both"/>
      </w:pPr>
      <w:r>
        <w:t>LARQ S.A.</w:t>
      </w:r>
      <w:r w:rsidRPr="006B0C35">
        <w:t xml:space="preserve"> </w:t>
      </w:r>
      <w:r>
        <w:t>(</w:t>
      </w:r>
      <w:proofErr w:type="spellStart"/>
      <w:r>
        <w:t>twitter</w:t>
      </w:r>
      <w:proofErr w:type="spellEnd"/>
      <w:r>
        <w:t xml:space="preserve"> IR: </w:t>
      </w:r>
      <w:hyperlink r:id="rId9" w:history="1">
        <w:r w:rsidRPr="00F11FD6">
          <w:rPr>
            <w:rStyle w:val="Hipercze"/>
          </w:rPr>
          <w:t>@</w:t>
        </w:r>
        <w:proofErr w:type="spellStart"/>
        <w:r w:rsidRPr="00F11FD6">
          <w:rPr>
            <w:rStyle w:val="Hipercze"/>
          </w:rPr>
          <w:t>LARQgroup</w:t>
        </w:r>
        <w:proofErr w:type="spellEnd"/>
      </w:hyperlink>
      <w:r>
        <w:t xml:space="preserve">) </w:t>
      </w:r>
      <w:r w:rsidRPr="006B0C35">
        <w:t xml:space="preserve">jest polską spółką </w:t>
      </w:r>
      <w:r>
        <w:t xml:space="preserve">inwestycyjną </w:t>
      </w:r>
      <w:r w:rsidRPr="006B0C35">
        <w:t>notowaną na głównym parkiecie GPW</w:t>
      </w:r>
      <w:r>
        <w:t>, zarządzającą podmiotami działającymi</w:t>
      </w:r>
      <w:r w:rsidRPr="00845C2A">
        <w:t xml:space="preserve"> w obszarze innowacyj</w:t>
      </w:r>
      <w:r>
        <w:t xml:space="preserve">nych mediów, nowych technologii </w:t>
      </w:r>
      <w:r w:rsidRPr="00845C2A">
        <w:t>i infrastruktury</w:t>
      </w:r>
      <w:r>
        <w:t>. Filarami portfela spółki są</w:t>
      </w:r>
      <w:r w:rsidRPr="003E385C">
        <w:t xml:space="preserve"> dynamicznie rozwijające się </w:t>
      </w:r>
      <w:r>
        <w:t>podmioty</w:t>
      </w:r>
      <w:r w:rsidRPr="003E385C">
        <w:t xml:space="preserve"> o </w:t>
      </w:r>
      <w:r>
        <w:t xml:space="preserve">dominującej pozycji </w:t>
      </w:r>
      <w:r w:rsidRPr="003E385C">
        <w:t>w swo</w:t>
      </w:r>
      <w:r>
        <w:t>ich segmentach rynku m.in.:</w:t>
      </w:r>
    </w:p>
    <w:p w14:paraId="278E8D2F" w14:textId="6297280D" w:rsidR="00BA5A2F" w:rsidRDefault="00BA5A2F" w:rsidP="00BA5A2F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>
        <w:t>Nextbike</w:t>
      </w:r>
      <w:proofErr w:type="spellEnd"/>
      <w:r>
        <w:t xml:space="preserve"> Polska - największy w Polsce dostawca i operator miejskich systemów rowerowych. Na chwilę obecną</w:t>
      </w:r>
      <w:r w:rsidRPr="000F3E22">
        <w:t xml:space="preserve"> </w:t>
      </w:r>
      <w:r>
        <w:t xml:space="preserve">spółka zarządza flotą ok. </w:t>
      </w:r>
      <w:r w:rsidRPr="000F3E22">
        <w:t>10</w:t>
      </w:r>
      <w:r>
        <w:t>,8 tys. rowe</w:t>
      </w:r>
      <w:r w:rsidR="00B17BC8">
        <w:t>rów i blisko tysiąca stacji w 26</w:t>
      </w:r>
      <w:r>
        <w:t xml:space="preserve"> miastach.</w:t>
      </w:r>
    </w:p>
    <w:p w14:paraId="22CB10F4" w14:textId="77777777" w:rsidR="00BA5A2F" w:rsidRDefault="00BA5A2F" w:rsidP="00BA5A2F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 w:rsidRPr="003E385C">
        <w:t>Synergic</w:t>
      </w:r>
      <w:proofErr w:type="spellEnd"/>
      <w:r w:rsidRPr="003E385C">
        <w:t xml:space="preserve"> - wiodący krajowy operator i właściciel niestandardowych nośników reklamy zewnętrznej. Reklamy klientów spółki eksponowane są na prawie wszystkich polskich lotniskach oraz na kluczowych dworcach autobusowych</w:t>
      </w:r>
      <w:r>
        <w:t xml:space="preserve"> i kolejowych</w:t>
      </w:r>
      <w:r w:rsidRPr="003E385C">
        <w:t>. Spółka jest wyłącznym operatorem przestrzeni reklamowej na rowerach miejskich oraz w przejściach podziemnych n</w:t>
      </w:r>
      <w:r>
        <w:t>ajwiększych polskich miast.</w:t>
      </w:r>
    </w:p>
    <w:p w14:paraId="6356220D" w14:textId="77777777" w:rsidR="00BA5A2F" w:rsidRDefault="00BA5A2F" w:rsidP="00BA5A2F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3E385C">
        <w:t xml:space="preserve">Brand24 - właściciel autorskiego narzędzia do monitoringu treści w </w:t>
      </w:r>
      <w:proofErr w:type="spellStart"/>
      <w:r w:rsidRPr="003E385C">
        <w:t>internecie</w:t>
      </w:r>
      <w:proofErr w:type="spellEnd"/>
      <w:r w:rsidRPr="003E385C">
        <w:t>, sprzedawanego w modelu SaaS (ang. Software as a Service). Spółka posiada dominującą pozycję na polskim rynku w swojej kategorii produktowej. Brand24 z sukcesem komercjaliz</w:t>
      </w:r>
      <w:r>
        <w:t>uje swoje unikalne</w:t>
      </w:r>
      <w:r w:rsidRPr="003E385C">
        <w:t xml:space="preserve"> rozwiązani</w:t>
      </w:r>
      <w:r>
        <w:t>e</w:t>
      </w:r>
      <w:r w:rsidRPr="003E385C">
        <w:t xml:space="preserve"> na rynku globalnym.</w:t>
      </w:r>
    </w:p>
    <w:p w14:paraId="3BB6BA21" w14:textId="77777777" w:rsidR="0011147E" w:rsidRDefault="0011147E" w:rsidP="0011147E">
      <w:pPr>
        <w:spacing w:after="0" w:line="320" w:lineRule="exact"/>
        <w:jc w:val="both"/>
      </w:pPr>
      <w:r>
        <w:t>-------------------------</w:t>
      </w:r>
    </w:p>
    <w:p w14:paraId="6C0F4FD0" w14:textId="77777777" w:rsidR="0011147E" w:rsidRDefault="0011147E" w:rsidP="0011147E">
      <w:pPr>
        <w:spacing w:after="0" w:line="320" w:lineRule="exact"/>
        <w:jc w:val="both"/>
      </w:pPr>
      <w:r>
        <w:t>dodatkowych informacji udziela:</w:t>
      </w:r>
    </w:p>
    <w:p w14:paraId="2275D7E0" w14:textId="77777777" w:rsidR="0011147E" w:rsidRDefault="0011147E" w:rsidP="0011147E">
      <w:pPr>
        <w:spacing w:after="0" w:line="320" w:lineRule="exact"/>
        <w:jc w:val="both"/>
      </w:pPr>
    </w:p>
    <w:p w14:paraId="1DE762DA" w14:textId="77777777" w:rsidR="0011147E" w:rsidRDefault="0011147E" w:rsidP="0011147E">
      <w:pPr>
        <w:spacing w:after="0" w:line="320" w:lineRule="exact"/>
        <w:jc w:val="both"/>
      </w:pPr>
      <w:r>
        <w:t>Katarzyna Sadowska</w:t>
      </w:r>
    </w:p>
    <w:p w14:paraId="50C7FAB2" w14:textId="77777777" w:rsidR="0011147E" w:rsidRDefault="0011147E" w:rsidP="0011147E">
      <w:pPr>
        <w:spacing w:after="0" w:line="320" w:lineRule="exact"/>
        <w:jc w:val="both"/>
      </w:pPr>
      <w:r>
        <w:t>CC Group Sp. z o.o.</w:t>
      </w:r>
    </w:p>
    <w:p w14:paraId="22E94CAB" w14:textId="77777777" w:rsidR="0011147E" w:rsidRDefault="0011147E" w:rsidP="0011147E">
      <w:pPr>
        <w:spacing w:after="0" w:line="320" w:lineRule="exact"/>
        <w:jc w:val="both"/>
      </w:pPr>
      <w:r>
        <w:t>Telefon: +48 22 440 14 40</w:t>
      </w:r>
    </w:p>
    <w:p w14:paraId="771495F1" w14:textId="4613F9DE" w:rsidR="00CD6288" w:rsidRPr="00FF328A" w:rsidRDefault="0011147E" w:rsidP="0011147E">
      <w:pPr>
        <w:spacing w:after="0" w:line="320" w:lineRule="exact"/>
        <w:jc w:val="both"/>
      </w:pPr>
      <w:r>
        <w:t>Mobile:  +48 697 613 020</w:t>
      </w:r>
    </w:p>
    <w:sectPr w:rsidR="00CD6288" w:rsidRPr="00FF328A" w:rsidSect="001C4AD1">
      <w:headerReference w:type="default" r:id="rId10"/>
      <w:footerReference w:type="default" r:id="rId11"/>
      <w:pgSz w:w="11906" w:h="16838"/>
      <w:pgMar w:top="1247" w:right="1247" w:bottom="1985" w:left="1985" w:header="709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94407" w15:done="0"/>
  <w15:commentEx w15:paraId="4D26ABF0" w15:done="0"/>
  <w15:commentEx w15:paraId="4F540F61" w15:done="0"/>
  <w15:commentEx w15:paraId="29B38E81" w15:done="0"/>
  <w15:commentEx w15:paraId="735570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989A" w14:textId="77777777" w:rsidR="00223C6F" w:rsidRDefault="00223C6F" w:rsidP="001671B9">
      <w:pPr>
        <w:spacing w:after="0" w:line="240" w:lineRule="auto"/>
      </w:pPr>
      <w:r>
        <w:separator/>
      </w:r>
    </w:p>
  </w:endnote>
  <w:endnote w:type="continuationSeparator" w:id="0">
    <w:p w14:paraId="3A60E64B" w14:textId="77777777" w:rsidR="00223C6F" w:rsidRDefault="00223C6F" w:rsidP="001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D7A9" w14:textId="77777777" w:rsidR="001671B9" w:rsidRDefault="00FF7E92" w:rsidP="00D20A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837069" wp14:editId="517C52A5">
          <wp:simplePos x="0" y="0"/>
          <wp:positionH relativeFrom="column">
            <wp:posOffset>-1261110</wp:posOffset>
          </wp:positionH>
          <wp:positionV relativeFrom="paragraph">
            <wp:posOffset>-29210</wp:posOffset>
          </wp:positionV>
          <wp:extent cx="7551420" cy="1020445"/>
          <wp:effectExtent l="0" t="0" r="0" b="8255"/>
          <wp:wrapNone/>
          <wp:docPr id="20" name="Obraz 20" descr="PAPIER_wymiarowanie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IER_wymiarowanie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99AD" w14:textId="77777777" w:rsidR="00223C6F" w:rsidRDefault="00223C6F" w:rsidP="001671B9">
      <w:pPr>
        <w:spacing w:after="0" w:line="240" w:lineRule="auto"/>
      </w:pPr>
      <w:r>
        <w:separator/>
      </w:r>
    </w:p>
  </w:footnote>
  <w:footnote w:type="continuationSeparator" w:id="0">
    <w:p w14:paraId="16E747CC" w14:textId="77777777" w:rsidR="00223C6F" w:rsidRDefault="00223C6F" w:rsidP="001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C1C" w14:textId="77777777" w:rsidR="00D20A78" w:rsidRDefault="00FF7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54E166" wp14:editId="3A57C73E">
          <wp:simplePos x="0" y="0"/>
          <wp:positionH relativeFrom="column">
            <wp:posOffset>-1242695</wp:posOffset>
          </wp:positionH>
          <wp:positionV relativeFrom="paragraph">
            <wp:posOffset>-438150</wp:posOffset>
          </wp:positionV>
          <wp:extent cx="1266825" cy="800100"/>
          <wp:effectExtent l="0" t="0" r="9525" b="0"/>
          <wp:wrapNone/>
          <wp:docPr id="17" name="Obraz 17" descr="PAPIER_wymiarowanie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IER_wymiarowanie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01A"/>
    <w:multiLevelType w:val="hybridMultilevel"/>
    <w:tmpl w:val="73CE1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561"/>
    <w:multiLevelType w:val="hybridMultilevel"/>
    <w:tmpl w:val="D41E29D0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01412"/>
    <w:multiLevelType w:val="hybridMultilevel"/>
    <w:tmpl w:val="074A1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C27"/>
    <w:multiLevelType w:val="hybridMultilevel"/>
    <w:tmpl w:val="7E20FDC8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E0481"/>
    <w:multiLevelType w:val="hybridMultilevel"/>
    <w:tmpl w:val="DEAA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7BE5"/>
    <w:multiLevelType w:val="hybridMultilevel"/>
    <w:tmpl w:val="95B85DC8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5DD3B56"/>
    <w:multiLevelType w:val="hybridMultilevel"/>
    <w:tmpl w:val="38904BDE"/>
    <w:lvl w:ilvl="0" w:tplc="3490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64AD"/>
    <w:multiLevelType w:val="hybridMultilevel"/>
    <w:tmpl w:val="17020B60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CBB5675"/>
    <w:multiLevelType w:val="hybridMultilevel"/>
    <w:tmpl w:val="FCBE9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  <w15:person w15:author="Tomasz Wojtkiewicz">
    <w15:presenceInfo w15:providerId="None" w15:userId="Tomasz Woj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 style="mso-position-vertical-relative:page;mso-height-relative:margin" fillcolor="white" stroke="f">
      <v:fill color="white"/>
      <v:stroke weight=".5pt"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3"/>
    <w:rsid w:val="0000181B"/>
    <w:rsid w:val="00003055"/>
    <w:rsid w:val="0001338F"/>
    <w:rsid w:val="00023963"/>
    <w:rsid w:val="00034A06"/>
    <w:rsid w:val="000444FB"/>
    <w:rsid w:val="000527C8"/>
    <w:rsid w:val="00054A8B"/>
    <w:rsid w:val="000618BF"/>
    <w:rsid w:val="00065237"/>
    <w:rsid w:val="0006585B"/>
    <w:rsid w:val="00075D16"/>
    <w:rsid w:val="000832A5"/>
    <w:rsid w:val="00086DF1"/>
    <w:rsid w:val="000902E2"/>
    <w:rsid w:val="000A3E8A"/>
    <w:rsid w:val="000A7A35"/>
    <w:rsid w:val="000B6E5B"/>
    <w:rsid w:val="000C18C2"/>
    <w:rsid w:val="000C1FC8"/>
    <w:rsid w:val="000C5296"/>
    <w:rsid w:val="000C5F2C"/>
    <w:rsid w:val="000D44ED"/>
    <w:rsid w:val="000D4B76"/>
    <w:rsid w:val="000D61BF"/>
    <w:rsid w:val="000D6525"/>
    <w:rsid w:val="000E0488"/>
    <w:rsid w:val="000E198E"/>
    <w:rsid w:val="000E49AE"/>
    <w:rsid w:val="000E6836"/>
    <w:rsid w:val="000F0F94"/>
    <w:rsid w:val="000F51FF"/>
    <w:rsid w:val="000F5460"/>
    <w:rsid w:val="0011147E"/>
    <w:rsid w:val="00112E5D"/>
    <w:rsid w:val="00114C58"/>
    <w:rsid w:val="001214FA"/>
    <w:rsid w:val="00141D35"/>
    <w:rsid w:val="00155C72"/>
    <w:rsid w:val="00157162"/>
    <w:rsid w:val="001671B9"/>
    <w:rsid w:val="0017050F"/>
    <w:rsid w:val="00191E5C"/>
    <w:rsid w:val="001A4F48"/>
    <w:rsid w:val="001A7426"/>
    <w:rsid w:val="001B32EA"/>
    <w:rsid w:val="001B61F0"/>
    <w:rsid w:val="001C3C22"/>
    <w:rsid w:val="001C4AD1"/>
    <w:rsid w:val="001E2AF4"/>
    <w:rsid w:val="001E3C31"/>
    <w:rsid w:val="001E4262"/>
    <w:rsid w:val="00204EA1"/>
    <w:rsid w:val="0020588F"/>
    <w:rsid w:val="00206126"/>
    <w:rsid w:val="00207460"/>
    <w:rsid w:val="00223C6F"/>
    <w:rsid w:val="00225ECA"/>
    <w:rsid w:val="00233446"/>
    <w:rsid w:val="0023609F"/>
    <w:rsid w:val="00237F21"/>
    <w:rsid w:val="00240D13"/>
    <w:rsid w:val="00240D4D"/>
    <w:rsid w:val="00244D07"/>
    <w:rsid w:val="00247A88"/>
    <w:rsid w:val="00257B12"/>
    <w:rsid w:val="00263EC8"/>
    <w:rsid w:val="00272391"/>
    <w:rsid w:val="00273DA1"/>
    <w:rsid w:val="002763C5"/>
    <w:rsid w:val="0028057A"/>
    <w:rsid w:val="00292AED"/>
    <w:rsid w:val="002948C4"/>
    <w:rsid w:val="002C06E3"/>
    <w:rsid w:val="002C1A6F"/>
    <w:rsid w:val="002D4CC7"/>
    <w:rsid w:val="002D5CC6"/>
    <w:rsid w:val="002D718D"/>
    <w:rsid w:val="002F1A24"/>
    <w:rsid w:val="002F5421"/>
    <w:rsid w:val="0032416D"/>
    <w:rsid w:val="00325FF2"/>
    <w:rsid w:val="0032632B"/>
    <w:rsid w:val="00330776"/>
    <w:rsid w:val="00341319"/>
    <w:rsid w:val="003625E1"/>
    <w:rsid w:val="003A0A9D"/>
    <w:rsid w:val="003A1788"/>
    <w:rsid w:val="003B1885"/>
    <w:rsid w:val="003B4A1C"/>
    <w:rsid w:val="003D326A"/>
    <w:rsid w:val="003E385C"/>
    <w:rsid w:val="003F63C5"/>
    <w:rsid w:val="004051E4"/>
    <w:rsid w:val="00407B22"/>
    <w:rsid w:val="00410F9F"/>
    <w:rsid w:val="00433730"/>
    <w:rsid w:val="00446679"/>
    <w:rsid w:val="00457AFC"/>
    <w:rsid w:val="00474517"/>
    <w:rsid w:val="00484E9C"/>
    <w:rsid w:val="00496AE3"/>
    <w:rsid w:val="00497077"/>
    <w:rsid w:val="004A6045"/>
    <w:rsid w:val="004B18C4"/>
    <w:rsid w:val="004C29B4"/>
    <w:rsid w:val="004D4306"/>
    <w:rsid w:val="004F57F0"/>
    <w:rsid w:val="00505460"/>
    <w:rsid w:val="005071EF"/>
    <w:rsid w:val="00511AC4"/>
    <w:rsid w:val="00522483"/>
    <w:rsid w:val="005422B7"/>
    <w:rsid w:val="00542781"/>
    <w:rsid w:val="0056159E"/>
    <w:rsid w:val="00561C1E"/>
    <w:rsid w:val="00565482"/>
    <w:rsid w:val="0057064C"/>
    <w:rsid w:val="0057080C"/>
    <w:rsid w:val="005A14C1"/>
    <w:rsid w:val="005A365F"/>
    <w:rsid w:val="005B34CE"/>
    <w:rsid w:val="005B3B23"/>
    <w:rsid w:val="005B78EF"/>
    <w:rsid w:val="005C1F83"/>
    <w:rsid w:val="005C2C14"/>
    <w:rsid w:val="005D2879"/>
    <w:rsid w:val="005E780D"/>
    <w:rsid w:val="005F0790"/>
    <w:rsid w:val="00603DC0"/>
    <w:rsid w:val="00624D3F"/>
    <w:rsid w:val="00631689"/>
    <w:rsid w:val="00651D7C"/>
    <w:rsid w:val="00657963"/>
    <w:rsid w:val="006604AF"/>
    <w:rsid w:val="00673C6D"/>
    <w:rsid w:val="0067448B"/>
    <w:rsid w:val="00674A39"/>
    <w:rsid w:val="00677116"/>
    <w:rsid w:val="0068190E"/>
    <w:rsid w:val="00685B34"/>
    <w:rsid w:val="0069003E"/>
    <w:rsid w:val="00692633"/>
    <w:rsid w:val="0069404A"/>
    <w:rsid w:val="006956E7"/>
    <w:rsid w:val="0069585D"/>
    <w:rsid w:val="006B0C35"/>
    <w:rsid w:val="006B1062"/>
    <w:rsid w:val="006B1A06"/>
    <w:rsid w:val="006D0D05"/>
    <w:rsid w:val="006E168B"/>
    <w:rsid w:val="006F6571"/>
    <w:rsid w:val="007058DA"/>
    <w:rsid w:val="00713025"/>
    <w:rsid w:val="00713EB4"/>
    <w:rsid w:val="00720016"/>
    <w:rsid w:val="00722EE5"/>
    <w:rsid w:val="00724D5E"/>
    <w:rsid w:val="007256E3"/>
    <w:rsid w:val="007311CE"/>
    <w:rsid w:val="00733784"/>
    <w:rsid w:val="0074733A"/>
    <w:rsid w:val="0075387A"/>
    <w:rsid w:val="00756748"/>
    <w:rsid w:val="00762882"/>
    <w:rsid w:val="00763DE9"/>
    <w:rsid w:val="007728EF"/>
    <w:rsid w:val="007730B4"/>
    <w:rsid w:val="0077402F"/>
    <w:rsid w:val="00776016"/>
    <w:rsid w:val="0077646C"/>
    <w:rsid w:val="007824BA"/>
    <w:rsid w:val="007877BD"/>
    <w:rsid w:val="007A0054"/>
    <w:rsid w:val="007A6C50"/>
    <w:rsid w:val="007A7114"/>
    <w:rsid w:val="007B5F9E"/>
    <w:rsid w:val="007C1BB1"/>
    <w:rsid w:val="007C296B"/>
    <w:rsid w:val="007C6B41"/>
    <w:rsid w:val="007D0700"/>
    <w:rsid w:val="007D0AA8"/>
    <w:rsid w:val="007D0FCF"/>
    <w:rsid w:val="007D5073"/>
    <w:rsid w:val="007D7EE7"/>
    <w:rsid w:val="007E1487"/>
    <w:rsid w:val="007E2D88"/>
    <w:rsid w:val="007E6221"/>
    <w:rsid w:val="007E699B"/>
    <w:rsid w:val="007F146C"/>
    <w:rsid w:val="007F339B"/>
    <w:rsid w:val="00803AE7"/>
    <w:rsid w:val="00813FD0"/>
    <w:rsid w:val="00822ECB"/>
    <w:rsid w:val="0082733A"/>
    <w:rsid w:val="00833B84"/>
    <w:rsid w:val="00845C2A"/>
    <w:rsid w:val="00851BE6"/>
    <w:rsid w:val="00874ADD"/>
    <w:rsid w:val="00880FDE"/>
    <w:rsid w:val="008829F7"/>
    <w:rsid w:val="00890D9C"/>
    <w:rsid w:val="008927E3"/>
    <w:rsid w:val="008945D5"/>
    <w:rsid w:val="008A37FD"/>
    <w:rsid w:val="008B4EE5"/>
    <w:rsid w:val="008B5680"/>
    <w:rsid w:val="008C3925"/>
    <w:rsid w:val="008F08F6"/>
    <w:rsid w:val="008F0A3C"/>
    <w:rsid w:val="00900340"/>
    <w:rsid w:val="00906E67"/>
    <w:rsid w:val="00923581"/>
    <w:rsid w:val="00926CD1"/>
    <w:rsid w:val="009327CC"/>
    <w:rsid w:val="009423E5"/>
    <w:rsid w:val="00944AA8"/>
    <w:rsid w:val="009510C3"/>
    <w:rsid w:val="00952F9D"/>
    <w:rsid w:val="00962527"/>
    <w:rsid w:val="00970FEF"/>
    <w:rsid w:val="0098412E"/>
    <w:rsid w:val="0098521F"/>
    <w:rsid w:val="00986883"/>
    <w:rsid w:val="00990C00"/>
    <w:rsid w:val="009A1182"/>
    <w:rsid w:val="009A52EF"/>
    <w:rsid w:val="009B0157"/>
    <w:rsid w:val="009B1F33"/>
    <w:rsid w:val="009C0B5C"/>
    <w:rsid w:val="009C2B0A"/>
    <w:rsid w:val="009C55A5"/>
    <w:rsid w:val="009E3FB9"/>
    <w:rsid w:val="009E6309"/>
    <w:rsid w:val="009F0646"/>
    <w:rsid w:val="009F5FD0"/>
    <w:rsid w:val="00A04210"/>
    <w:rsid w:val="00A0629D"/>
    <w:rsid w:val="00A10FBB"/>
    <w:rsid w:val="00A14B19"/>
    <w:rsid w:val="00A27260"/>
    <w:rsid w:val="00A35AD4"/>
    <w:rsid w:val="00A44F2B"/>
    <w:rsid w:val="00A52F3A"/>
    <w:rsid w:val="00A547A6"/>
    <w:rsid w:val="00A55DF2"/>
    <w:rsid w:val="00A56395"/>
    <w:rsid w:val="00A56E1D"/>
    <w:rsid w:val="00A76E2C"/>
    <w:rsid w:val="00AC5F01"/>
    <w:rsid w:val="00AE0C3E"/>
    <w:rsid w:val="00AE1FCE"/>
    <w:rsid w:val="00AE7790"/>
    <w:rsid w:val="00B05254"/>
    <w:rsid w:val="00B167E9"/>
    <w:rsid w:val="00B17BC8"/>
    <w:rsid w:val="00B35CA1"/>
    <w:rsid w:val="00B37EC5"/>
    <w:rsid w:val="00B40158"/>
    <w:rsid w:val="00B45B70"/>
    <w:rsid w:val="00B50E42"/>
    <w:rsid w:val="00B543D7"/>
    <w:rsid w:val="00B60EC5"/>
    <w:rsid w:val="00B64CB6"/>
    <w:rsid w:val="00BA0768"/>
    <w:rsid w:val="00BA5A2F"/>
    <w:rsid w:val="00BB382B"/>
    <w:rsid w:val="00BB4E2F"/>
    <w:rsid w:val="00BC0116"/>
    <w:rsid w:val="00BC3F92"/>
    <w:rsid w:val="00BD2400"/>
    <w:rsid w:val="00BD5A3F"/>
    <w:rsid w:val="00BD637D"/>
    <w:rsid w:val="00BD6DB1"/>
    <w:rsid w:val="00BE7453"/>
    <w:rsid w:val="00BF2E11"/>
    <w:rsid w:val="00BF53BC"/>
    <w:rsid w:val="00C17C87"/>
    <w:rsid w:val="00C22B2D"/>
    <w:rsid w:val="00C30129"/>
    <w:rsid w:val="00C321F4"/>
    <w:rsid w:val="00C35434"/>
    <w:rsid w:val="00C51057"/>
    <w:rsid w:val="00C6202B"/>
    <w:rsid w:val="00C7064D"/>
    <w:rsid w:val="00C7684C"/>
    <w:rsid w:val="00C76996"/>
    <w:rsid w:val="00C8375D"/>
    <w:rsid w:val="00C841DF"/>
    <w:rsid w:val="00C90418"/>
    <w:rsid w:val="00C905B4"/>
    <w:rsid w:val="00CA68FE"/>
    <w:rsid w:val="00CB009D"/>
    <w:rsid w:val="00CB1587"/>
    <w:rsid w:val="00CB3767"/>
    <w:rsid w:val="00CB44C6"/>
    <w:rsid w:val="00CB4FB1"/>
    <w:rsid w:val="00CC08AB"/>
    <w:rsid w:val="00CC2E3C"/>
    <w:rsid w:val="00CC4BB7"/>
    <w:rsid w:val="00CC586E"/>
    <w:rsid w:val="00CD32B4"/>
    <w:rsid w:val="00CD6288"/>
    <w:rsid w:val="00CE06C8"/>
    <w:rsid w:val="00CE4AB6"/>
    <w:rsid w:val="00CF5F12"/>
    <w:rsid w:val="00D0131D"/>
    <w:rsid w:val="00D051FB"/>
    <w:rsid w:val="00D14E92"/>
    <w:rsid w:val="00D20A78"/>
    <w:rsid w:val="00D21AC2"/>
    <w:rsid w:val="00D24E34"/>
    <w:rsid w:val="00D2798C"/>
    <w:rsid w:val="00D4181A"/>
    <w:rsid w:val="00D5440D"/>
    <w:rsid w:val="00D729C2"/>
    <w:rsid w:val="00D7604F"/>
    <w:rsid w:val="00D87D25"/>
    <w:rsid w:val="00D911F6"/>
    <w:rsid w:val="00D91829"/>
    <w:rsid w:val="00D927E3"/>
    <w:rsid w:val="00DC3BF6"/>
    <w:rsid w:val="00DC4199"/>
    <w:rsid w:val="00DD116D"/>
    <w:rsid w:val="00DD5111"/>
    <w:rsid w:val="00DE4685"/>
    <w:rsid w:val="00DF67CC"/>
    <w:rsid w:val="00DF7954"/>
    <w:rsid w:val="00E03559"/>
    <w:rsid w:val="00E20471"/>
    <w:rsid w:val="00E212A4"/>
    <w:rsid w:val="00E22718"/>
    <w:rsid w:val="00E25010"/>
    <w:rsid w:val="00E319D8"/>
    <w:rsid w:val="00E85DED"/>
    <w:rsid w:val="00E86822"/>
    <w:rsid w:val="00EB7B9D"/>
    <w:rsid w:val="00EC0990"/>
    <w:rsid w:val="00EC5B29"/>
    <w:rsid w:val="00EC7B37"/>
    <w:rsid w:val="00ED7A0C"/>
    <w:rsid w:val="00EE2567"/>
    <w:rsid w:val="00EF74D3"/>
    <w:rsid w:val="00F0100E"/>
    <w:rsid w:val="00F02A48"/>
    <w:rsid w:val="00F037B7"/>
    <w:rsid w:val="00F11FD6"/>
    <w:rsid w:val="00F26449"/>
    <w:rsid w:val="00F2749A"/>
    <w:rsid w:val="00F40121"/>
    <w:rsid w:val="00F46122"/>
    <w:rsid w:val="00F511C4"/>
    <w:rsid w:val="00F72DD0"/>
    <w:rsid w:val="00F81E4C"/>
    <w:rsid w:val="00F82410"/>
    <w:rsid w:val="00F84A32"/>
    <w:rsid w:val="00FC0249"/>
    <w:rsid w:val="00FD49A7"/>
    <w:rsid w:val="00FE204B"/>
    <w:rsid w:val="00FE2D5B"/>
    <w:rsid w:val="00FE5CA5"/>
    <w:rsid w:val="00FF328A"/>
    <w:rsid w:val="00FF65D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vertical-relative:page;mso-height-relative:margin" fillcolor="white" stroke="f">
      <v:fill color="white"/>
      <v:stroke weight=".5pt"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99A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LARQgroup?ref_src=twsrc%5Etfw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zybylowski.CAMMEDIA\AppData\Local\Microsoft\Windows\INetCache\Content.Outlook\UT4AWWD6\LARQ_papier%20firmowy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6255-F4DA-4189-881F-6C0C071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LARQ_papier firmowy_szablon</Template>
  <TotalTime>45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7</cp:revision>
  <cp:lastPrinted>2016-11-16T10:00:00Z</cp:lastPrinted>
  <dcterms:created xsi:type="dcterms:W3CDTF">2017-06-13T07:55:00Z</dcterms:created>
  <dcterms:modified xsi:type="dcterms:W3CDTF">2017-06-13T08:47:00Z</dcterms:modified>
</cp:coreProperties>
</file>